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14" w:rsidRPr="00A00CBC" w:rsidRDefault="003D2314" w:rsidP="003D2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BC">
        <w:rPr>
          <w:rFonts w:ascii="Times New Roman" w:hAnsi="Times New Roman" w:cs="Times New Roman"/>
          <w:b/>
          <w:sz w:val="24"/>
          <w:szCs w:val="24"/>
        </w:rPr>
        <w:t>Мониторинг оценивания уровня развития интегративных качеств по образовательной области «Музыкально-художественная деятельность»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основе инновационной программы ДО «От рождения до школы» под редакцией Н. 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9251"/>
      </w:tblGrid>
      <w:tr w:rsidR="003D2314" w:rsidRPr="00A00CBC" w:rsidTr="003F37DC">
        <w:tc>
          <w:tcPr>
            <w:tcW w:w="421" w:type="dxa"/>
          </w:tcPr>
          <w:p w:rsidR="003D2314" w:rsidRDefault="003D2314" w:rsidP="003F3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CBC">
              <w:rPr>
                <w:rFonts w:ascii="Times New Roman" w:hAnsi="Times New Roman" w:cs="Times New Roman"/>
                <w:b/>
              </w:rPr>
              <w:t>Воз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0CBC">
              <w:rPr>
                <w:rFonts w:ascii="Times New Roman" w:hAnsi="Times New Roman" w:cs="Times New Roman"/>
                <w:b/>
              </w:rPr>
              <w:t>раст</w:t>
            </w:r>
            <w:proofErr w:type="spellEnd"/>
          </w:p>
        </w:tc>
        <w:tc>
          <w:tcPr>
            <w:tcW w:w="9362" w:type="dxa"/>
          </w:tcPr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CBC">
              <w:rPr>
                <w:rFonts w:ascii="Times New Roman" w:hAnsi="Times New Roman" w:cs="Times New Roman"/>
                <w:b/>
              </w:rPr>
              <w:t>Критерии</w:t>
            </w:r>
          </w:p>
        </w:tc>
      </w:tr>
      <w:tr w:rsidR="003D2314" w:rsidRPr="00A00CBC" w:rsidTr="003F37DC">
        <w:trPr>
          <w:trHeight w:val="253"/>
        </w:trPr>
        <w:tc>
          <w:tcPr>
            <w:tcW w:w="421" w:type="dxa"/>
            <w:vMerge w:val="restart"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Подготовительная к школе группа</w:t>
            </w:r>
          </w:p>
        </w:tc>
        <w:tc>
          <w:tcPr>
            <w:tcW w:w="9362" w:type="dxa"/>
            <w:vAlign w:val="center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Балл (низкий </w:t>
            </w: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уровень)</w:t>
            </w:r>
          </w:p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Дошкольник ситуативно откликается на эмоции, отраженные в произведениях, эмоциональное реагирование неглубокое, не понимает средства выразительности, используемые авторами, затрудняется передать или отражает наиболее яркие образы произведений в речи и движениях, творчества не проявляет. Ребенок выполняет все предложенные задания с помощью или частичной помощью взрослого.</w:t>
            </w:r>
          </w:p>
        </w:tc>
      </w:tr>
      <w:tr w:rsidR="003D2314" w:rsidRPr="00A00CBC" w:rsidTr="003F37DC">
        <w:trPr>
          <w:trHeight w:val="253"/>
        </w:trPr>
        <w:tc>
          <w:tcPr>
            <w:tcW w:w="421" w:type="dxa"/>
            <w:vMerge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  <w:vAlign w:val="center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2 балла (средний уровень)</w:t>
            </w:r>
          </w:p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Ребенок кратко отражает в речи свои переживания, возникающие при восприятии произведений искусства, творчества в данном процессе не проявляет, преобладают стереотипы. Ребенок выполняет самостоятельно и с частичной помощью взрослого все предложенные задания.</w:t>
            </w:r>
          </w:p>
        </w:tc>
      </w:tr>
      <w:tr w:rsidR="003D2314" w:rsidRPr="00A00CBC" w:rsidTr="003F37DC">
        <w:tc>
          <w:tcPr>
            <w:tcW w:w="421" w:type="dxa"/>
            <w:vMerge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3 балла (высокий уровень)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Дошкольник адекватно, ярко, глубоко реагирует на произведения, творчески использует разнообразные речевые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неречевые средства, развернуто описывает свои переживания, возникающие при восприятии произведений искусств, проявляет любознательность, интересуется причинно-следственными связями. Ребенок выполняет все предложенные задания самостоятельно.</w:t>
            </w:r>
          </w:p>
        </w:tc>
      </w:tr>
      <w:tr w:rsidR="003D2314" w:rsidRPr="00A00CBC" w:rsidTr="003F37DC">
        <w:tc>
          <w:tcPr>
            <w:tcW w:w="421" w:type="dxa"/>
            <w:vMerge w:val="restart"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Старшая группа</w:t>
            </w: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1 балл (низкий уровень)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С помощью взрослого эмоционально откликается при восприятии музыкального произведения, эмоции выражены неярко и недлительно или ситуативно. Не замечает отдельных средств выразительности, дает краткие эмоциональные оценки с помощью взрослого. Интересы не выражены.</w:t>
            </w:r>
          </w:p>
        </w:tc>
      </w:tr>
      <w:tr w:rsidR="003D2314" w:rsidRPr="00A00CBC" w:rsidTr="003F37DC">
        <w:tc>
          <w:tcPr>
            <w:tcW w:w="421" w:type="dxa"/>
            <w:vMerge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балла (средний </w:t>
            </w: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уровень)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Испытывает удовольствие при восприятии прекрасного, свои переживания недостаточно четко отражает в речи, нуждается в помощи взрослого, вместе со взрослыми украшает свой быт. Замечает отдельные средства музыкальной выразительности, дает неразвернутые эмоциональные оценки. Интересы неустойчивые. Настроение от прослушанных произведениях кратко отражает в речи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314" w:rsidRPr="00A00CBC" w:rsidTr="003F37DC">
        <w:tc>
          <w:tcPr>
            <w:tcW w:w="421" w:type="dxa"/>
            <w:vMerge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3 балла (высокий уровень)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Внимательно и заинтересованно слушает музыкальное произведение, следит за динамикой музыкального образа, самостоятельно рассуждает, отвечая на вопросы о содержании и средствах выразительности музыкального произведения. Имеет осмысленные эмоционально окрашенные суждения. Дает простые эстетические оценки, замечает данные произведения в повседневной жизн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и, в непосредственном окружении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Активно интересуется, задает вопросы, устанавливает причинно-следственные связи. Замечает красоту.</w:t>
            </w:r>
          </w:p>
        </w:tc>
      </w:tr>
      <w:tr w:rsidR="003D2314" w:rsidRPr="00A00CBC" w:rsidTr="003F37DC">
        <w:tc>
          <w:tcPr>
            <w:tcW w:w="421" w:type="dxa"/>
            <w:vMerge w:val="restart"/>
            <w:textDirection w:val="btLr"/>
          </w:tcPr>
          <w:p w:rsidR="003D2314" w:rsidRPr="00A00CBC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Средняя группа</w:t>
            </w: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1 балл (низкий уровень)</w:t>
            </w:r>
          </w:p>
          <w:p w:rsidR="003D2314" w:rsidRPr="00A00CBC" w:rsidRDefault="003D2314" w:rsidP="003F37DC">
            <w:pPr>
              <w:jc w:val="center"/>
              <w:rPr>
                <w:rFonts w:ascii="Times New Roman" w:hAnsi="Times New Roman" w:cs="Times New Roman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С помощью взрослого эмоционально откликается при восприятии музыкального произведения, эмоции выражены неярко и недлительно или ситуативно. Не замечает отдельных средств выразительности, дает краткие эмоциональные оценки с помощью взрослого. Интересы не выражены.</w:t>
            </w:r>
          </w:p>
        </w:tc>
      </w:tr>
      <w:tr w:rsidR="003D2314" w:rsidRPr="00A00CBC" w:rsidTr="003F37DC">
        <w:tc>
          <w:tcPr>
            <w:tcW w:w="421" w:type="dxa"/>
            <w:vMerge/>
            <w:textDirection w:val="btLr"/>
          </w:tcPr>
          <w:p w:rsidR="003D2314" w:rsidRPr="001D67F0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2 балла (сре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дний</w:t>
            </w: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уровень)</w:t>
            </w:r>
          </w:p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Испытывает удовольствие при восприятии прекрасного, свои переживания недостаточно четко отражает в речи, нуждается в помощи взрослого, вместе со взрослыми украшает свой быт. Замечает отдельные средства музыкальной выразительности, дает неразвернутые эмоциональные оценки. Интересы неустойчивые. Настроение от прослушанных произведениях кратко отражает в речи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314" w:rsidRPr="00A00CBC" w:rsidTr="003F37DC">
        <w:tc>
          <w:tcPr>
            <w:tcW w:w="421" w:type="dxa"/>
            <w:vMerge/>
            <w:textDirection w:val="btLr"/>
          </w:tcPr>
          <w:p w:rsidR="003D2314" w:rsidRPr="001D67F0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3 балла (высокий уровень)</w:t>
            </w:r>
          </w:p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Внимательно и заинтересованно слушает музыкальное произведение, следит за динамикой музыкального образа, самостоятельно рассуждает, отвечая на вопросы о содержании и средствах выразительности музыкального произведения. Имеет осмысленные эмоционально окрашенные суждения. Дает простые эстетические оценки, замечает данные произведения в повседневной жизни, в непосредственном окружении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Активно интересуется, задает вопросы, устанавливает причинно-следственные связи. Замечает красоту.</w:t>
            </w:r>
          </w:p>
        </w:tc>
      </w:tr>
      <w:tr w:rsidR="003D2314" w:rsidRPr="00A00CBC" w:rsidTr="003F37DC">
        <w:tc>
          <w:tcPr>
            <w:tcW w:w="421" w:type="dxa"/>
            <w:vMerge w:val="restart"/>
            <w:textDirection w:val="btLr"/>
          </w:tcPr>
          <w:p w:rsidR="003D2314" w:rsidRPr="001D67F0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2 младшая группа</w:t>
            </w: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1 балл (низкий уровень)</w:t>
            </w:r>
          </w:p>
          <w:p w:rsidR="003D2314" w:rsidRPr="001D67F0" w:rsidRDefault="003D2314" w:rsidP="003F37DC">
            <w:pPr>
              <w:pStyle w:val="a4"/>
              <w:ind w:left="190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Не проявляет интереса к музык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альной деятельности. Испытывает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 xml:space="preserve"> трудности в понимании содержания музыкального произведения. Совместно со взрослым выполняет некоторые простые движения под музыку, но не ритмично. Затрудняется в реагировании на изменение оттенков музыки. Не внимательно слушает музыку. Затрудняется ответить на вопросы по содержанию произведения. Узнает знакомые произведения с помощью взрослого, испытывает трудности в обыгрывании музыкальных образов. Эмоции не дифференцированы.</w:t>
            </w:r>
          </w:p>
        </w:tc>
      </w:tr>
      <w:tr w:rsidR="003D2314" w:rsidRPr="00A00CBC" w:rsidTr="003F37DC">
        <w:tc>
          <w:tcPr>
            <w:tcW w:w="421" w:type="dxa"/>
            <w:vMerge/>
          </w:tcPr>
          <w:p w:rsidR="003D2314" w:rsidRPr="001D67F0" w:rsidRDefault="003D2314" w:rsidP="003F3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2 балла (средний уровень)</w:t>
            </w:r>
          </w:p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Проявляет интерес к музыкальной деятельности. Желание участвовать в определенной деятельности неустойчивое. С помощью взрослого движениями реагирует на изменение оттенков музыки. Вместе со взрослым обыгрывает музыкальное произведение. Начинает внимательно слушать музыку, но отвлекается. Затрудняется в ответах на простые вопросы по содержанию музыкального произведения. Узнает некоторые музыкальные произведения. Эмоционально откликается в процессе слушания, эмоции отражает преимущественно не вербально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314" w:rsidRPr="00A00CBC" w:rsidTr="003F37DC">
        <w:tc>
          <w:tcPr>
            <w:tcW w:w="421" w:type="dxa"/>
            <w:vMerge/>
          </w:tcPr>
          <w:p w:rsidR="003D2314" w:rsidRPr="001D67F0" w:rsidRDefault="003D2314" w:rsidP="003F3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3 балла (высокий уровень)</w:t>
            </w:r>
          </w:p>
          <w:p w:rsidR="003D2314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стремится участвовать в разных видах музыкальной деятельности. Внимательно слушает музыку, действует в соответствии с ее настроением, обыгрывает музыкальные образы. Подражает действиям взрослого под музыку. Чутко и эмоционально реагирует на изменение оттенков музыки. Отвечает на простые вопросы по содержанию музыкального произведения. Узнает многие знакомые музыкальные произведения. эмоционально отзывчи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на музыку, пение, испытывает 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удовольствие при их восприятии. Эмоции отражает вербально и не вербально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314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2314" w:rsidRPr="00A00CBC" w:rsidTr="003F37DC">
        <w:tc>
          <w:tcPr>
            <w:tcW w:w="421" w:type="dxa"/>
            <w:vMerge w:val="restart"/>
            <w:textDirection w:val="btLr"/>
          </w:tcPr>
          <w:p w:rsidR="003D2314" w:rsidRPr="001D67F0" w:rsidRDefault="003D2314" w:rsidP="003F37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1 младшая группа</w:t>
            </w: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7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1 балл (низкий уровень)</w:t>
            </w:r>
          </w:p>
          <w:p w:rsidR="003D2314" w:rsidRPr="001D67F0" w:rsidRDefault="003D2314" w:rsidP="003F37DC">
            <w:pPr>
              <w:pStyle w:val="a4"/>
              <w:ind w:left="48" w:right="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Не проявляет явного интереса к разным видам музыкальной деятельности. Включается по предложению взрослого и действует вместе с ним не продолжительное время. В совместной со взрослым деятельности выполняет некоторые простые движения под музыку, но не ритмично. Затрудняется в реагировании на изменение громкости, темпа и ритма музыки. Не внимательно слушает музыку. Узнает некоторые знакомые произведения с помощью взрослого, испытывает трудности в обыгрывании музыкальных образов. Редко проявляет эмоциональный отклик, эмоции не дифференцированы.</w:t>
            </w:r>
          </w:p>
        </w:tc>
      </w:tr>
      <w:tr w:rsidR="003D2314" w:rsidRPr="00A00CBC" w:rsidTr="003F37DC">
        <w:tc>
          <w:tcPr>
            <w:tcW w:w="421" w:type="dxa"/>
            <w:vMerge/>
          </w:tcPr>
          <w:p w:rsidR="003D2314" w:rsidRPr="001D67F0" w:rsidRDefault="003D2314" w:rsidP="003F3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75"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2 балла (средний уровень)</w:t>
            </w:r>
          </w:p>
          <w:p w:rsidR="003D2314" w:rsidRPr="001D67F0" w:rsidRDefault="003D2314" w:rsidP="003F37DC">
            <w:pPr>
              <w:pStyle w:val="a4"/>
              <w:ind w:left="175"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 xml:space="preserve">Проявляет интерес к разным видам музыкальной деятельности. С помощью взрослого движениями реагирует на изменение громкости, темпа, ритма </w:t>
            </w:r>
            <w:proofErr w:type="gramStart"/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музыки .Вместе</w:t>
            </w:r>
            <w:proofErr w:type="gramEnd"/>
            <w:r w:rsidRPr="001D67F0">
              <w:rPr>
                <w:rFonts w:ascii="Times New Roman" w:hAnsi="Times New Roman" w:cs="Times New Roman"/>
                <w:sz w:val="18"/>
                <w:szCs w:val="18"/>
              </w:rPr>
              <w:t xml:space="preserve"> со взрослым обыгрывает музыкальное произведение. Начинает внимательно слушать музыку. Узнает некоторые музыкальные произведения. Эмоционально откликается на события в процессе слушания музыки, эмоции отражает преимущественно </w:t>
            </w:r>
            <w:proofErr w:type="spellStart"/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невербально</w:t>
            </w:r>
            <w:proofErr w:type="spellEnd"/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314" w:rsidRPr="00A00CBC" w:rsidTr="003F37DC">
        <w:tc>
          <w:tcPr>
            <w:tcW w:w="421" w:type="dxa"/>
            <w:vMerge/>
          </w:tcPr>
          <w:p w:rsidR="003D2314" w:rsidRPr="001D67F0" w:rsidRDefault="003D2314" w:rsidP="003F3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2" w:type="dxa"/>
          </w:tcPr>
          <w:p w:rsidR="003D2314" w:rsidRPr="001D67F0" w:rsidRDefault="003D2314" w:rsidP="003F37DC">
            <w:pPr>
              <w:pStyle w:val="a4"/>
              <w:ind w:left="17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b/>
                <w:sz w:val="18"/>
                <w:szCs w:val="18"/>
              </w:rPr>
              <w:t>3 балла (высокий уровень)</w:t>
            </w:r>
          </w:p>
          <w:p w:rsidR="003D2314" w:rsidRPr="001D67F0" w:rsidRDefault="003D2314" w:rsidP="003F37DC">
            <w:pPr>
              <w:pStyle w:val="a4"/>
              <w:ind w:left="175"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Стремится участвовать в разных видах музыкальной деятельности. Внимательно слушает музыку, действует под музыку в соответствии с ее настроением, обыгрывает музыкальные образы. Подражает действиям взрослого под музыку. Эмоционально реагирует на изменение характера музыки. Отвечает на простые вопросы по содержанию музыкального произведения. Узнает многие знакомые музыка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льные произведения. Испытывает </w:t>
            </w:r>
            <w:r w:rsidRPr="001D67F0">
              <w:rPr>
                <w:rFonts w:ascii="Times New Roman" w:hAnsi="Times New Roman" w:cs="Times New Roman"/>
                <w:sz w:val="18"/>
                <w:szCs w:val="18"/>
              </w:rPr>
              <w:t xml:space="preserve">удовольствие от пения и восприятия музыки. Эмоции отражает вербально и </w:t>
            </w:r>
            <w:proofErr w:type="spellStart"/>
            <w:r w:rsidRPr="001D67F0">
              <w:rPr>
                <w:rFonts w:ascii="Times New Roman" w:hAnsi="Times New Roman" w:cs="Times New Roman"/>
                <w:sz w:val="18"/>
                <w:szCs w:val="18"/>
              </w:rPr>
              <w:t>невербально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3D2314" w:rsidRDefault="003D2314" w:rsidP="003D2314">
      <w:pPr>
        <w:rPr>
          <w:rFonts w:ascii="Times New Roman" w:hAnsi="Times New Roman" w:cs="Times New Roman"/>
          <w:b/>
        </w:rPr>
      </w:pPr>
    </w:p>
    <w:p w:rsidR="00A00CBC" w:rsidRPr="003D2314" w:rsidRDefault="00A00CBC" w:rsidP="003D2314">
      <w:bookmarkStart w:id="0" w:name="_GoBack"/>
      <w:bookmarkEnd w:id="0"/>
    </w:p>
    <w:sectPr w:rsidR="00A00CBC" w:rsidRPr="003D2314" w:rsidSect="00130F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BC"/>
    <w:rsid w:val="00130F8F"/>
    <w:rsid w:val="003D2314"/>
    <w:rsid w:val="006F0946"/>
    <w:rsid w:val="00A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0185"/>
  <w15:chartTrackingRefBased/>
  <w15:docId w15:val="{F982B55F-5258-49B5-A7A3-A87FC6E9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0CB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2022-05-05T03:14:00Z</dcterms:created>
  <dcterms:modified xsi:type="dcterms:W3CDTF">2022-05-05T04:10:00Z</dcterms:modified>
</cp:coreProperties>
</file>